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0848F" w14:textId="77777777" w:rsidR="00B11A01" w:rsidRPr="00B11A01" w:rsidRDefault="00B11A01" w:rsidP="00B11A01">
      <w:pPr>
        <w:spacing w:line="280" w:lineRule="exact"/>
        <w:rPr>
          <w:rFonts w:ascii="Arial" w:hAnsi="Arial" w:cs="Arial"/>
          <w:szCs w:val="22"/>
        </w:rPr>
      </w:pPr>
    </w:p>
    <w:tbl>
      <w:tblPr>
        <w:tblW w:w="0" w:type="auto"/>
        <w:tblLook w:val="01E0" w:firstRow="1" w:lastRow="1" w:firstColumn="1" w:lastColumn="1" w:noHBand="0" w:noVBand="0"/>
      </w:tblPr>
      <w:tblGrid>
        <w:gridCol w:w="6062"/>
        <w:gridCol w:w="3225"/>
      </w:tblGrid>
      <w:tr w:rsidR="00B11A01" w:rsidRPr="00B11A01" w14:paraId="11208493" w14:textId="77777777" w:rsidTr="007C3785">
        <w:tc>
          <w:tcPr>
            <w:tcW w:w="6062" w:type="dxa"/>
            <w:shd w:val="clear" w:color="auto" w:fill="auto"/>
          </w:tcPr>
          <w:p w14:paraId="11208490" w14:textId="77777777" w:rsidR="00B11A01" w:rsidRPr="00B11A01" w:rsidRDefault="00B11A01" w:rsidP="00B11A01">
            <w:pPr>
              <w:tabs>
                <w:tab w:val="center" w:pos="4153"/>
                <w:tab w:val="right" w:pos="8306"/>
              </w:tabs>
            </w:pPr>
            <w:r>
              <w:rPr>
                <w:rFonts w:ascii="Arial" w:hAnsi="Arial" w:cs="Arial"/>
                <w:noProof/>
                <w:sz w:val="44"/>
                <w:szCs w:val="44"/>
              </w:rPr>
              <w:drawing>
                <wp:inline distT="0" distB="0" distL="0" distR="0" wp14:anchorId="112084B6" wp14:editId="112084B7">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5" w:type="dxa"/>
            <w:shd w:val="clear" w:color="auto" w:fill="auto"/>
          </w:tcPr>
          <w:p w14:paraId="14E840B5" w14:textId="77777777" w:rsidR="00A30E9C" w:rsidRDefault="00A30E9C" w:rsidP="00B11A01">
            <w:pPr>
              <w:tabs>
                <w:tab w:val="center" w:pos="4153"/>
                <w:tab w:val="right" w:pos="8306"/>
              </w:tabs>
              <w:rPr>
                <w:rFonts w:ascii="Arial" w:hAnsi="Arial" w:cs="Arial"/>
                <w:b/>
                <w:szCs w:val="22"/>
              </w:rPr>
            </w:pPr>
          </w:p>
          <w:p w14:paraId="11208491" w14:textId="6DBCEC9F" w:rsidR="00B11A01" w:rsidRPr="00B11A01" w:rsidRDefault="00555382" w:rsidP="00B11A01">
            <w:pPr>
              <w:tabs>
                <w:tab w:val="center" w:pos="4153"/>
                <w:tab w:val="right" w:pos="8306"/>
              </w:tabs>
              <w:rPr>
                <w:rFonts w:ascii="Arial" w:hAnsi="Arial" w:cs="Arial"/>
                <w:b/>
                <w:szCs w:val="22"/>
              </w:rPr>
            </w:pPr>
            <w:r>
              <w:rPr>
                <w:rFonts w:ascii="Arial" w:hAnsi="Arial" w:cs="Arial"/>
                <w:b/>
                <w:szCs w:val="22"/>
              </w:rPr>
              <w:t>Annual Meeting of the L</w:t>
            </w:r>
            <w:r w:rsidR="00B11A01" w:rsidRPr="00B11A01">
              <w:rPr>
                <w:rFonts w:ascii="Arial" w:hAnsi="Arial" w:cs="Arial"/>
                <w:b/>
                <w:szCs w:val="22"/>
              </w:rPr>
              <w:t>GA General Assembly</w:t>
            </w:r>
          </w:p>
          <w:p w14:paraId="11208492" w14:textId="3C6CE2EC" w:rsidR="00B11A01" w:rsidRPr="00B11A01" w:rsidRDefault="00D60978" w:rsidP="00D60978">
            <w:pPr>
              <w:tabs>
                <w:tab w:val="center" w:pos="4153"/>
                <w:tab w:val="right" w:pos="8306"/>
              </w:tabs>
              <w:rPr>
                <w:szCs w:val="22"/>
              </w:rPr>
            </w:pPr>
            <w:r>
              <w:rPr>
                <w:rFonts w:ascii="Arial" w:hAnsi="Arial" w:cs="Arial"/>
                <w:szCs w:val="22"/>
              </w:rPr>
              <w:t>30 June 2015</w:t>
            </w:r>
          </w:p>
        </w:tc>
      </w:tr>
    </w:tbl>
    <w:p w14:paraId="11208494" w14:textId="5FDBE6DA" w:rsidR="00B11A01" w:rsidRPr="00BB212B" w:rsidRDefault="00B11A01" w:rsidP="00B11A01">
      <w:pPr>
        <w:pStyle w:val="LGAItemNoHeading"/>
        <w:spacing w:before="720"/>
        <w:rPr>
          <w:rFonts w:ascii="Arial" w:hAnsi="Arial" w:cs="Arial"/>
          <w:sz w:val="28"/>
          <w:szCs w:val="28"/>
        </w:rPr>
      </w:pPr>
      <w:r>
        <w:rPr>
          <w:rFonts w:ascii="Arial" w:hAnsi="Arial" w:cs="Arial"/>
          <w:sz w:val="28"/>
          <w:szCs w:val="28"/>
        </w:rPr>
        <w:t>LGA consolidated financial statemen</w:t>
      </w:r>
      <w:r w:rsidR="00D60978">
        <w:rPr>
          <w:rFonts w:ascii="Arial" w:hAnsi="Arial" w:cs="Arial"/>
          <w:sz w:val="28"/>
          <w:szCs w:val="28"/>
        </w:rPr>
        <w:t>ts for the year to 31 March 2015</w:t>
      </w:r>
    </w:p>
    <w:p w14:paraId="11208495" w14:textId="6DFB5F45" w:rsidR="00B11A01" w:rsidRPr="000B1FB2" w:rsidRDefault="008909F7" w:rsidP="00B11A01">
      <w:pPr>
        <w:pStyle w:val="MainText"/>
        <w:rPr>
          <w:rFonts w:ascii="Arial" w:hAnsi="Arial" w:cs="Arial"/>
          <w:b/>
          <w:szCs w:val="22"/>
        </w:rPr>
      </w:pPr>
      <w:r>
        <w:rPr>
          <w:rFonts w:ascii="Arial" w:hAnsi="Arial" w:cs="Arial"/>
          <w:b/>
          <w:szCs w:val="22"/>
        </w:rPr>
        <w:t>Purpose of the Report</w:t>
      </w:r>
    </w:p>
    <w:p w14:paraId="11208496" w14:textId="77777777" w:rsidR="00B11A01" w:rsidRPr="000B1FB2" w:rsidRDefault="00B11A01" w:rsidP="00B11A01">
      <w:pPr>
        <w:pStyle w:val="MainText"/>
        <w:tabs>
          <w:tab w:val="left" w:pos="3975"/>
        </w:tabs>
        <w:rPr>
          <w:rFonts w:ascii="Arial" w:hAnsi="Arial" w:cs="Arial"/>
          <w:szCs w:val="22"/>
        </w:rPr>
      </w:pPr>
      <w:r>
        <w:rPr>
          <w:rFonts w:ascii="Arial" w:hAnsi="Arial" w:cs="Arial"/>
          <w:szCs w:val="22"/>
        </w:rPr>
        <w:tab/>
      </w:r>
    </w:p>
    <w:p w14:paraId="11208497" w14:textId="2FD4FD9E" w:rsidR="00B11A01" w:rsidRPr="000B1FB2" w:rsidRDefault="008909F7" w:rsidP="00B11A01">
      <w:pPr>
        <w:pStyle w:val="MainText"/>
        <w:rPr>
          <w:rFonts w:ascii="Arial" w:hAnsi="Arial" w:cs="Arial"/>
          <w:szCs w:val="22"/>
        </w:rPr>
      </w:pPr>
      <w:r>
        <w:rPr>
          <w:rFonts w:ascii="Arial" w:hAnsi="Arial" w:cs="Arial"/>
          <w:szCs w:val="22"/>
        </w:rPr>
        <w:t xml:space="preserve">To invite the </w:t>
      </w:r>
      <w:r w:rsidR="00B11A01">
        <w:rPr>
          <w:rFonts w:ascii="Arial" w:hAnsi="Arial" w:cs="Arial"/>
          <w:szCs w:val="22"/>
        </w:rPr>
        <w:t xml:space="preserve">General Assembly </w:t>
      </w:r>
      <w:r>
        <w:rPr>
          <w:rFonts w:ascii="Arial" w:hAnsi="Arial" w:cs="Arial"/>
          <w:szCs w:val="22"/>
        </w:rPr>
        <w:t>to receive</w:t>
      </w:r>
      <w:r w:rsidR="00B11A01">
        <w:rPr>
          <w:rFonts w:ascii="Arial" w:hAnsi="Arial" w:cs="Arial"/>
          <w:szCs w:val="22"/>
        </w:rPr>
        <w:t xml:space="preserve"> the LGA consolidated financial statements for 201</w:t>
      </w:r>
      <w:r w:rsidR="00D60978">
        <w:rPr>
          <w:rFonts w:ascii="Arial" w:hAnsi="Arial" w:cs="Arial"/>
          <w:szCs w:val="22"/>
        </w:rPr>
        <w:t>4</w:t>
      </w:r>
      <w:r w:rsidR="00B11A01">
        <w:rPr>
          <w:rFonts w:ascii="Arial" w:hAnsi="Arial" w:cs="Arial"/>
          <w:szCs w:val="22"/>
        </w:rPr>
        <w:t>/1</w:t>
      </w:r>
      <w:r w:rsidR="00D60978">
        <w:rPr>
          <w:rFonts w:ascii="Arial" w:hAnsi="Arial" w:cs="Arial"/>
          <w:szCs w:val="22"/>
        </w:rPr>
        <w:t>5</w:t>
      </w:r>
      <w:r w:rsidR="00B11A01">
        <w:rPr>
          <w:rFonts w:ascii="Arial" w:hAnsi="Arial" w:cs="Arial"/>
          <w:szCs w:val="22"/>
        </w:rPr>
        <w:t>.</w:t>
      </w:r>
    </w:p>
    <w:p w14:paraId="112084A1" w14:textId="77777777" w:rsidR="00B11A01" w:rsidRPr="000B1FB2" w:rsidRDefault="00B11A01" w:rsidP="00B11A01">
      <w:pPr>
        <w:pStyle w:val="MainText"/>
        <w:rPr>
          <w:rFonts w:ascii="Arial" w:hAnsi="Arial" w:cs="Arial"/>
          <w:szCs w:val="22"/>
        </w:rPr>
      </w:pPr>
    </w:p>
    <w:p w14:paraId="112084A2" w14:textId="0A188255" w:rsidR="00B11A01" w:rsidRDefault="00B11A01" w:rsidP="00B11A01">
      <w:pPr>
        <w:pStyle w:val="MainText"/>
        <w:rPr>
          <w:rFonts w:ascii="Arial" w:hAnsi="Arial" w:cs="Arial"/>
          <w:szCs w:val="22"/>
        </w:rPr>
      </w:pPr>
      <w:r w:rsidRPr="000B1FB2">
        <w:rPr>
          <w:rFonts w:ascii="Arial" w:hAnsi="Arial" w:cs="Arial"/>
          <w:szCs w:val="22"/>
        </w:rPr>
        <w:t>The LGA</w:t>
      </w:r>
      <w:r>
        <w:rPr>
          <w:rFonts w:ascii="Arial" w:hAnsi="Arial" w:cs="Arial"/>
          <w:szCs w:val="22"/>
        </w:rPr>
        <w:t>’s</w:t>
      </w:r>
      <w:r w:rsidRPr="000B1FB2">
        <w:rPr>
          <w:rFonts w:ascii="Arial" w:hAnsi="Arial" w:cs="Arial"/>
          <w:szCs w:val="22"/>
        </w:rPr>
        <w:t xml:space="preserve"> consolidated financial statements for the year ended 31 March 201</w:t>
      </w:r>
      <w:r w:rsidR="00D60978">
        <w:rPr>
          <w:rFonts w:ascii="Arial" w:hAnsi="Arial" w:cs="Arial"/>
          <w:szCs w:val="22"/>
        </w:rPr>
        <w:t>5</w:t>
      </w:r>
      <w:r>
        <w:rPr>
          <w:rFonts w:ascii="Arial" w:hAnsi="Arial" w:cs="Arial"/>
          <w:szCs w:val="22"/>
        </w:rPr>
        <w:t xml:space="preserve"> are included in the LGA Annual Report, </w:t>
      </w:r>
      <w:r w:rsidRPr="009B240E">
        <w:rPr>
          <w:rFonts w:ascii="Arial" w:hAnsi="Arial" w:cs="Arial"/>
          <w:b/>
          <w:szCs w:val="22"/>
          <w:u w:val="single"/>
        </w:rPr>
        <w:t>enclosed</w:t>
      </w:r>
      <w:r>
        <w:rPr>
          <w:rFonts w:ascii="Arial" w:hAnsi="Arial" w:cs="Arial"/>
          <w:szCs w:val="22"/>
        </w:rPr>
        <w:t xml:space="preserve"> with this agenda.</w:t>
      </w:r>
      <w:r w:rsidRPr="000B1FB2">
        <w:rPr>
          <w:rFonts w:ascii="Arial" w:hAnsi="Arial" w:cs="Arial"/>
          <w:szCs w:val="22"/>
        </w:rPr>
        <w:t xml:space="preserve"> </w:t>
      </w:r>
      <w:r>
        <w:rPr>
          <w:rFonts w:ascii="Arial" w:hAnsi="Arial" w:cs="Arial"/>
          <w:szCs w:val="22"/>
        </w:rPr>
        <w:t xml:space="preserve">They were reviewed by the Audit Committee on 3 June </w:t>
      </w:r>
      <w:r w:rsidR="00D7314F">
        <w:rPr>
          <w:rFonts w:ascii="Arial" w:hAnsi="Arial" w:cs="Arial"/>
          <w:szCs w:val="22"/>
        </w:rPr>
        <w:t xml:space="preserve">and </w:t>
      </w:r>
      <w:r>
        <w:rPr>
          <w:rFonts w:ascii="Arial" w:hAnsi="Arial" w:cs="Arial"/>
          <w:szCs w:val="22"/>
        </w:rPr>
        <w:t>appro</w:t>
      </w:r>
      <w:r w:rsidR="00D7314F">
        <w:rPr>
          <w:rFonts w:ascii="Arial" w:hAnsi="Arial" w:cs="Arial"/>
          <w:szCs w:val="22"/>
        </w:rPr>
        <w:t>ved b</w:t>
      </w:r>
      <w:r w:rsidR="00D60978">
        <w:rPr>
          <w:rFonts w:ascii="Arial" w:hAnsi="Arial" w:cs="Arial"/>
          <w:szCs w:val="22"/>
        </w:rPr>
        <w:t>y the LGA Leadership Board on 10</w:t>
      </w:r>
      <w:r w:rsidR="00D7314F">
        <w:rPr>
          <w:rFonts w:ascii="Arial" w:hAnsi="Arial" w:cs="Arial"/>
          <w:szCs w:val="22"/>
        </w:rPr>
        <w:t xml:space="preserve"> June.</w:t>
      </w:r>
      <w:r>
        <w:rPr>
          <w:rFonts w:ascii="Arial" w:hAnsi="Arial" w:cs="Arial"/>
          <w:szCs w:val="22"/>
        </w:rPr>
        <w:t xml:space="preserve"> They are expected to receive an unqualified audit opinion from the external auditors PK</w:t>
      </w:r>
      <w:r w:rsidR="00D7314F">
        <w:rPr>
          <w:rFonts w:ascii="Arial" w:hAnsi="Arial" w:cs="Arial"/>
          <w:szCs w:val="22"/>
        </w:rPr>
        <w:t xml:space="preserve">F Littlejohn LLP. The auditors will </w:t>
      </w:r>
      <w:r>
        <w:rPr>
          <w:rFonts w:ascii="Arial" w:hAnsi="Arial" w:cs="Arial"/>
          <w:szCs w:val="22"/>
        </w:rPr>
        <w:t xml:space="preserve">sign the consolidated accounts once the financial statements for the individual companies feeding into the consolidated accounts have been adopted at </w:t>
      </w:r>
      <w:r w:rsidR="00D7314F">
        <w:rPr>
          <w:rFonts w:ascii="Arial" w:hAnsi="Arial" w:cs="Arial"/>
          <w:szCs w:val="22"/>
        </w:rPr>
        <w:t>their respective board meetings</w:t>
      </w:r>
      <w:r w:rsidR="00D60978">
        <w:rPr>
          <w:rFonts w:ascii="Arial" w:hAnsi="Arial" w:cs="Arial"/>
          <w:szCs w:val="22"/>
        </w:rPr>
        <w:t xml:space="preserve"> in June 2015</w:t>
      </w:r>
      <w:r>
        <w:rPr>
          <w:rFonts w:ascii="Arial" w:hAnsi="Arial" w:cs="Arial"/>
          <w:szCs w:val="22"/>
        </w:rPr>
        <w:t>.</w:t>
      </w:r>
    </w:p>
    <w:p w14:paraId="112084A3" w14:textId="77777777" w:rsidR="00B11A01" w:rsidRDefault="00B11A01" w:rsidP="00B11A01">
      <w:pPr>
        <w:pStyle w:val="MainText"/>
        <w:rPr>
          <w:rFonts w:ascii="Arial" w:hAnsi="Arial" w:cs="Arial"/>
          <w:szCs w:val="22"/>
        </w:rPr>
      </w:pPr>
    </w:p>
    <w:p w14:paraId="20C26049" w14:textId="77777777" w:rsidR="008E39F3" w:rsidRDefault="00B11A01" w:rsidP="00D7314F">
      <w:pPr>
        <w:pStyle w:val="MainText"/>
        <w:rPr>
          <w:rFonts w:ascii="Arial" w:hAnsi="Arial" w:cs="Arial"/>
          <w:szCs w:val="22"/>
        </w:rPr>
      </w:pPr>
      <w:r w:rsidRPr="00F94C9E">
        <w:rPr>
          <w:rFonts w:ascii="Arial" w:hAnsi="Arial" w:cs="Arial"/>
          <w:szCs w:val="22"/>
        </w:rPr>
        <w:t>The financial statements show a consolidated surplus of £</w:t>
      </w:r>
      <w:r w:rsidR="00D60978">
        <w:rPr>
          <w:rFonts w:ascii="Arial" w:hAnsi="Arial" w:cs="Arial"/>
          <w:szCs w:val="22"/>
        </w:rPr>
        <w:t>7.626</w:t>
      </w:r>
      <w:r>
        <w:rPr>
          <w:rFonts w:ascii="Arial" w:hAnsi="Arial" w:cs="Arial"/>
          <w:szCs w:val="22"/>
        </w:rPr>
        <w:t xml:space="preserve"> </w:t>
      </w:r>
      <w:r w:rsidRPr="00F94C9E">
        <w:rPr>
          <w:rFonts w:ascii="Arial" w:hAnsi="Arial" w:cs="Arial"/>
          <w:szCs w:val="22"/>
        </w:rPr>
        <w:t>m</w:t>
      </w:r>
      <w:r>
        <w:rPr>
          <w:rFonts w:ascii="Arial" w:hAnsi="Arial" w:cs="Arial"/>
          <w:szCs w:val="22"/>
        </w:rPr>
        <w:t>illion before financing incoming costs, contributions from joint ventures, proceeds from the sale of shares and adjustments relating to additional pension contributions. T</w:t>
      </w:r>
      <w:r w:rsidRPr="00F94C9E">
        <w:rPr>
          <w:rFonts w:ascii="Arial" w:hAnsi="Arial" w:cs="Arial"/>
          <w:szCs w:val="22"/>
        </w:rPr>
        <w:t xml:space="preserve">he overall </w:t>
      </w:r>
      <w:r>
        <w:rPr>
          <w:rFonts w:ascii="Arial" w:hAnsi="Arial" w:cs="Arial"/>
          <w:szCs w:val="22"/>
        </w:rPr>
        <w:t>pension deficit increased by £</w:t>
      </w:r>
      <w:r w:rsidR="00D60978">
        <w:rPr>
          <w:rFonts w:ascii="Arial" w:hAnsi="Arial" w:cs="Arial"/>
          <w:szCs w:val="22"/>
        </w:rPr>
        <w:t>20.923</w:t>
      </w:r>
      <w:r>
        <w:rPr>
          <w:rFonts w:ascii="Arial" w:hAnsi="Arial" w:cs="Arial"/>
          <w:szCs w:val="22"/>
        </w:rPr>
        <w:t xml:space="preserve"> million to £</w:t>
      </w:r>
      <w:r w:rsidR="00D60978">
        <w:rPr>
          <w:rFonts w:ascii="Arial" w:hAnsi="Arial" w:cs="Arial"/>
          <w:szCs w:val="22"/>
        </w:rPr>
        <w:t>112.860</w:t>
      </w:r>
      <w:r>
        <w:rPr>
          <w:rFonts w:ascii="Arial" w:hAnsi="Arial" w:cs="Arial"/>
          <w:szCs w:val="22"/>
        </w:rPr>
        <w:t xml:space="preserve"> million. This valuation has been carried out in line </w:t>
      </w:r>
      <w:r w:rsidRPr="00B11A01">
        <w:rPr>
          <w:rFonts w:ascii="Arial" w:hAnsi="Arial" w:cs="Arial"/>
          <w:szCs w:val="22"/>
        </w:rPr>
        <w:t>with FRS17 accounting standards and is therefore subject to market p</w:t>
      </w:r>
      <w:r w:rsidR="00F0713A">
        <w:rPr>
          <w:rFonts w:ascii="Arial" w:hAnsi="Arial" w:cs="Arial"/>
          <w:szCs w:val="22"/>
        </w:rPr>
        <w:t xml:space="preserve">erformance on a specific date. </w:t>
      </w:r>
    </w:p>
    <w:p w14:paraId="51B19A31" w14:textId="77777777" w:rsidR="008E39F3" w:rsidRDefault="008E39F3" w:rsidP="00D7314F">
      <w:pPr>
        <w:pStyle w:val="MainText"/>
        <w:rPr>
          <w:rFonts w:ascii="Arial" w:hAnsi="Arial" w:cs="Arial"/>
          <w:szCs w:val="22"/>
        </w:rPr>
      </w:pPr>
    </w:p>
    <w:p w14:paraId="112084A7" w14:textId="521464F1" w:rsidR="00B11A01" w:rsidRPr="00B11A01" w:rsidRDefault="00B11A01" w:rsidP="00D7314F">
      <w:pPr>
        <w:pStyle w:val="MainText"/>
        <w:rPr>
          <w:rFonts w:ascii="Arial" w:hAnsi="Arial" w:cs="Arial"/>
          <w:szCs w:val="22"/>
        </w:rPr>
      </w:pPr>
      <w:r w:rsidRPr="00B11A01">
        <w:rPr>
          <w:rFonts w:ascii="Arial" w:hAnsi="Arial" w:cs="Arial"/>
          <w:szCs w:val="22"/>
        </w:rPr>
        <w:t xml:space="preserve">The LGA is making additional pension contributions in order to eliminate the deficit over a period of between 15 and 22 years. </w:t>
      </w:r>
      <w:r w:rsidR="008E39F3">
        <w:rPr>
          <w:rFonts w:ascii="Arial" w:hAnsi="Arial" w:cs="Arial"/>
          <w:szCs w:val="22"/>
        </w:rPr>
        <w:t xml:space="preserve">The </w:t>
      </w:r>
      <w:r w:rsidR="008E39F3" w:rsidRPr="00F421CD">
        <w:rPr>
          <w:rFonts w:ascii="Arial" w:hAnsi="Arial" w:cs="Arial"/>
          <w:b/>
          <w:szCs w:val="22"/>
          <w:u w:val="single"/>
        </w:rPr>
        <w:t>attached</w:t>
      </w:r>
      <w:r w:rsidR="008E39F3">
        <w:rPr>
          <w:rFonts w:ascii="Arial" w:hAnsi="Arial" w:cs="Arial"/>
          <w:szCs w:val="22"/>
        </w:rPr>
        <w:t xml:space="preserve"> briefing note </w:t>
      </w:r>
      <w:r w:rsidR="008E39F3" w:rsidRPr="008E39F3">
        <w:rPr>
          <w:rFonts w:ascii="Arial" w:hAnsi="Arial" w:cs="Arial"/>
          <w:szCs w:val="22"/>
        </w:rPr>
        <w:t>summarises the movements between the Pension Fund Balances for the LGA and IDEA since the last Triennial valuation at March 2013, together with the key reasons for the increase in net liabilities shown in the 2014/15 Financial Accounts. In addition the note summarises the key actions being taken to reduce the overall level of deficit.</w:t>
      </w:r>
    </w:p>
    <w:p w14:paraId="77BAF040" w14:textId="77777777" w:rsidR="008909F7" w:rsidRDefault="008909F7" w:rsidP="008909F7">
      <w:pPr>
        <w:pStyle w:val="MainText"/>
        <w:rPr>
          <w:rFonts w:ascii="Arial" w:hAnsi="Arial" w:cs="Arial"/>
          <w:b/>
          <w:szCs w:val="22"/>
        </w:rPr>
      </w:pPr>
    </w:p>
    <w:tbl>
      <w:tblPr>
        <w:tblStyle w:val="TableGrid"/>
        <w:tblW w:w="0" w:type="auto"/>
        <w:tblLook w:val="04A0" w:firstRow="1" w:lastRow="0" w:firstColumn="1" w:lastColumn="0" w:noHBand="0" w:noVBand="1"/>
      </w:tblPr>
      <w:tblGrid>
        <w:gridCol w:w="9854"/>
      </w:tblGrid>
      <w:tr w:rsidR="008909F7" w14:paraId="4D1B653E" w14:textId="77777777" w:rsidTr="008909F7">
        <w:tc>
          <w:tcPr>
            <w:tcW w:w="9854" w:type="dxa"/>
          </w:tcPr>
          <w:p w14:paraId="7AF1F731" w14:textId="77777777" w:rsidR="008909F7" w:rsidRDefault="008909F7" w:rsidP="008909F7">
            <w:pPr>
              <w:pStyle w:val="MainText"/>
              <w:rPr>
                <w:rFonts w:ascii="Arial" w:hAnsi="Arial" w:cs="Arial"/>
                <w:b/>
                <w:szCs w:val="22"/>
              </w:rPr>
            </w:pPr>
          </w:p>
          <w:p w14:paraId="67C9590A" w14:textId="77777777" w:rsidR="008909F7" w:rsidRPr="000B1FB2" w:rsidRDefault="008909F7" w:rsidP="008909F7">
            <w:pPr>
              <w:pStyle w:val="MainText"/>
              <w:rPr>
                <w:rFonts w:ascii="Arial" w:hAnsi="Arial" w:cs="Arial"/>
                <w:b/>
                <w:szCs w:val="22"/>
              </w:rPr>
            </w:pPr>
            <w:r w:rsidRPr="000B1FB2">
              <w:rPr>
                <w:rFonts w:ascii="Arial" w:hAnsi="Arial" w:cs="Arial"/>
                <w:b/>
                <w:szCs w:val="22"/>
              </w:rPr>
              <w:t>Recomm</w:t>
            </w:r>
            <w:r>
              <w:rPr>
                <w:rFonts w:ascii="Arial" w:hAnsi="Arial" w:cs="Arial"/>
                <w:b/>
                <w:szCs w:val="22"/>
              </w:rPr>
              <w:t>endation</w:t>
            </w:r>
          </w:p>
          <w:p w14:paraId="3269D343" w14:textId="77777777" w:rsidR="008909F7" w:rsidRPr="000B1FB2" w:rsidRDefault="008909F7" w:rsidP="008909F7">
            <w:pPr>
              <w:pStyle w:val="MainText"/>
              <w:rPr>
                <w:rFonts w:ascii="Arial" w:hAnsi="Arial" w:cs="Arial"/>
                <w:szCs w:val="22"/>
              </w:rPr>
            </w:pPr>
          </w:p>
          <w:p w14:paraId="2FA4FF86" w14:textId="1724C0CC" w:rsidR="008909F7" w:rsidRDefault="008909F7" w:rsidP="008909F7">
            <w:pPr>
              <w:pStyle w:val="MainText"/>
              <w:rPr>
                <w:rFonts w:ascii="Arial" w:hAnsi="Arial" w:cs="Arial"/>
                <w:szCs w:val="22"/>
              </w:rPr>
            </w:pPr>
            <w:r>
              <w:rPr>
                <w:rFonts w:ascii="Arial" w:hAnsi="Arial" w:cs="Arial"/>
                <w:szCs w:val="22"/>
              </w:rPr>
              <w:t xml:space="preserve">That the General Assembly </w:t>
            </w:r>
            <w:r w:rsidRPr="00FF08E3">
              <w:rPr>
                <w:rFonts w:ascii="Arial" w:hAnsi="Arial" w:cs="Arial"/>
                <w:b/>
                <w:szCs w:val="22"/>
              </w:rPr>
              <w:t>receives</w:t>
            </w:r>
            <w:r>
              <w:rPr>
                <w:rFonts w:ascii="Arial" w:hAnsi="Arial" w:cs="Arial"/>
                <w:szCs w:val="22"/>
              </w:rPr>
              <w:t xml:space="preserve"> the financial statements</w:t>
            </w:r>
            <w:r w:rsidR="00D60978">
              <w:rPr>
                <w:rFonts w:ascii="Arial" w:hAnsi="Arial" w:cs="Arial"/>
                <w:szCs w:val="22"/>
              </w:rPr>
              <w:t xml:space="preserve"> for the year to 31 March 2015</w:t>
            </w:r>
            <w:r w:rsidR="00AB4F3C">
              <w:rPr>
                <w:rFonts w:ascii="Arial" w:hAnsi="Arial" w:cs="Arial"/>
                <w:szCs w:val="22"/>
              </w:rPr>
              <w:t>.</w:t>
            </w:r>
          </w:p>
          <w:p w14:paraId="6FF9616C" w14:textId="20DA8A22" w:rsidR="008909F7" w:rsidRDefault="008909F7" w:rsidP="008909F7">
            <w:pPr>
              <w:pStyle w:val="MainText"/>
              <w:rPr>
                <w:rFonts w:ascii="Arial" w:hAnsi="Arial" w:cs="Arial"/>
                <w:b/>
                <w:szCs w:val="22"/>
              </w:rPr>
            </w:pPr>
          </w:p>
        </w:tc>
      </w:tr>
    </w:tbl>
    <w:p w14:paraId="1E5049C2" w14:textId="11F21EB2" w:rsidR="008909F7" w:rsidRDefault="008909F7" w:rsidP="008909F7">
      <w:pPr>
        <w:pStyle w:val="MainText"/>
        <w:rPr>
          <w:rFonts w:ascii="Arial" w:hAnsi="Arial" w:cs="Arial"/>
          <w:szCs w:val="22"/>
        </w:rPr>
      </w:pPr>
    </w:p>
    <w:p w14:paraId="112084A8" w14:textId="77777777" w:rsidR="00B11A01" w:rsidRDefault="00B11A01" w:rsidP="00B11A01">
      <w:pPr>
        <w:spacing w:line="280" w:lineRule="exact"/>
        <w:rPr>
          <w:rFonts w:ascii="Arial" w:hAnsi="Arial" w:cs="Arial"/>
          <w:szCs w:val="22"/>
        </w:rPr>
      </w:pPr>
    </w:p>
    <w:p w14:paraId="36DAC0B1" w14:textId="77777777" w:rsidR="008909F7" w:rsidRPr="00B11A01" w:rsidRDefault="008909F7" w:rsidP="00B11A01">
      <w:pPr>
        <w:spacing w:line="280" w:lineRule="exact"/>
        <w:rPr>
          <w:rFonts w:ascii="Arial" w:hAnsi="Arial" w:cs="Arial"/>
          <w:szCs w:val="22"/>
        </w:rPr>
      </w:pPr>
    </w:p>
    <w:tbl>
      <w:tblPr>
        <w:tblW w:w="9180" w:type="dxa"/>
        <w:tblLook w:val="01E0" w:firstRow="1" w:lastRow="1" w:firstColumn="1" w:lastColumn="1" w:noHBand="0" w:noVBand="0"/>
      </w:tblPr>
      <w:tblGrid>
        <w:gridCol w:w="2802"/>
        <w:gridCol w:w="6378"/>
      </w:tblGrid>
      <w:tr w:rsidR="00D60978" w:rsidRPr="00B11A01" w14:paraId="112084AB" w14:textId="77777777" w:rsidTr="00D60978">
        <w:tc>
          <w:tcPr>
            <w:tcW w:w="2802" w:type="dxa"/>
            <w:shd w:val="clear" w:color="auto" w:fill="auto"/>
          </w:tcPr>
          <w:p w14:paraId="112084A9" w14:textId="77777777" w:rsidR="00D60978" w:rsidRPr="00B11A01" w:rsidRDefault="00D60978" w:rsidP="00B11A01">
            <w:pPr>
              <w:spacing w:after="120"/>
              <w:rPr>
                <w:rFonts w:ascii="Arial" w:hAnsi="Arial" w:cs="Arial"/>
                <w:szCs w:val="22"/>
              </w:rPr>
            </w:pPr>
            <w:r w:rsidRPr="00B11A01">
              <w:rPr>
                <w:rFonts w:ascii="Arial" w:hAnsi="Arial" w:cs="Arial"/>
                <w:b/>
                <w:szCs w:val="22"/>
              </w:rPr>
              <w:t>Contact officer:</w:t>
            </w:r>
            <w:r w:rsidRPr="00B11A01">
              <w:rPr>
                <w:rFonts w:ascii="Arial" w:hAnsi="Arial" w:cs="Arial"/>
                <w:szCs w:val="22"/>
              </w:rPr>
              <w:t xml:space="preserve">  </w:t>
            </w:r>
          </w:p>
        </w:tc>
        <w:tc>
          <w:tcPr>
            <w:tcW w:w="6378" w:type="dxa"/>
          </w:tcPr>
          <w:p w14:paraId="323EA6E1" w14:textId="2D0735DB" w:rsidR="00D60978" w:rsidRPr="00B11A01" w:rsidRDefault="00D60978" w:rsidP="00B11A01">
            <w:pPr>
              <w:spacing w:after="120"/>
              <w:rPr>
                <w:rFonts w:ascii="Arial" w:hAnsi="Arial" w:cs="Arial"/>
                <w:szCs w:val="22"/>
              </w:rPr>
            </w:pPr>
            <w:r>
              <w:rPr>
                <w:rFonts w:ascii="Arial" w:hAnsi="Arial" w:cs="Arial"/>
                <w:szCs w:val="22"/>
              </w:rPr>
              <w:t>Stephen Hughes</w:t>
            </w:r>
          </w:p>
        </w:tc>
      </w:tr>
      <w:tr w:rsidR="00D60978" w:rsidRPr="00B11A01" w14:paraId="112084AE" w14:textId="77777777" w:rsidTr="00D60978">
        <w:tc>
          <w:tcPr>
            <w:tcW w:w="2802" w:type="dxa"/>
            <w:shd w:val="clear" w:color="auto" w:fill="auto"/>
          </w:tcPr>
          <w:p w14:paraId="112084AC" w14:textId="77777777" w:rsidR="00D60978" w:rsidRPr="00B11A01" w:rsidRDefault="00D60978" w:rsidP="00B11A01">
            <w:pPr>
              <w:spacing w:after="120"/>
              <w:rPr>
                <w:rFonts w:ascii="Arial" w:hAnsi="Arial" w:cs="Arial"/>
                <w:b/>
                <w:szCs w:val="22"/>
              </w:rPr>
            </w:pPr>
            <w:r w:rsidRPr="00B11A01">
              <w:rPr>
                <w:rFonts w:ascii="Arial" w:hAnsi="Arial" w:cs="Arial"/>
                <w:b/>
                <w:szCs w:val="22"/>
              </w:rPr>
              <w:t>Position:</w:t>
            </w:r>
          </w:p>
        </w:tc>
        <w:tc>
          <w:tcPr>
            <w:tcW w:w="6378" w:type="dxa"/>
          </w:tcPr>
          <w:p w14:paraId="72E49BD7" w14:textId="08A9D2ED" w:rsidR="00D60978" w:rsidRPr="00B11A01" w:rsidRDefault="00D60978" w:rsidP="00B11A01">
            <w:pPr>
              <w:spacing w:after="120"/>
              <w:rPr>
                <w:rFonts w:ascii="Arial" w:hAnsi="Arial" w:cs="Arial"/>
                <w:szCs w:val="22"/>
              </w:rPr>
            </w:pPr>
            <w:r w:rsidRPr="00F8592E">
              <w:rPr>
                <w:rFonts w:ascii="Arial" w:hAnsi="Arial" w:cs="Arial"/>
                <w:szCs w:val="22"/>
              </w:rPr>
              <w:t>Executive Director</w:t>
            </w:r>
          </w:p>
        </w:tc>
      </w:tr>
      <w:tr w:rsidR="00D60978" w:rsidRPr="00B11A01" w14:paraId="112084B1" w14:textId="77777777" w:rsidTr="00D60978">
        <w:tc>
          <w:tcPr>
            <w:tcW w:w="2802" w:type="dxa"/>
            <w:shd w:val="clear" w:color="auto" w:fill="auto"/>
          </w:tcPr>
          <w:p w14:paraId="112084AF" w14:textId="77777777" w:rsidR="00D60978" w:rsidRPr="00B11A01" w:rsidRDefault="00D60978" w:rsidP="00B11A01">
            <w:pPr>
              <w:spacing w:after="120"/>
              <w:rPr>
                <w:rFonts w:ascii="Arial" w:hAnsi="Arial" w:cs="Arial"/>
                <w:b/>
                <w:szCs w:val="22"/>
              </w:rPr>
            </w:pPr>
            <w:r w:rsidRPr="00B11A01">
              <w:rPr>
                <w:rFonts w:ascii="Arial" w:hAnsi="Arial" w:cs="Arial"/>
                <w:b/>
                <w:szCs w:val="22"/>
              </w:rPr>
              <w:t>Phone no:</w:t>
            </w:r>
          </w:p>
        </w:tc>
        <w:tc>
          <w:tcPr>
            <w:tcW w:w="6378" w:type="dxa"/>
          </w:tcPr>
          <w:p w14:paraId="4EF133D5" w14:textId="760D82B2" w:rsidR="00D60978" w:rsidRPr="00B11A01" w:rsidRDefault="00D60978" w:rsidP="00B11A01">
            <w:pPr>
              <w:spacing w:after="120"/>
              <w:rPr>
                <w:rFonts w:ascii="Arial" w:hAnsi="Arial" w:cs="Arial"/>
                <w:szCs w:val="22"/>
              </w:rPr>
            </w:pPr>
            <w:r w:rsidRPr="00F8592E">
              <w:rPr>
                <w:rFonts w:ascii="Arial" w:hAnsi="Arial" w:cs="Arial"/>
                <w:szCs w:val="22"/>
              </w:rPr>
              <w:t>020 7664 3</w:t>
            </w:r>
            <w:r>
              <w:rPr>
                <w:rFonts w:ascii="Arial" w:hAnsi="Arial" w:cs="Arial"/>
                <w:szCs w:val="22"/>
              </w:rPr>
              <w:t>109</w:t>
            </w:r>
          </w:p>
        </w:tc>
      </w:tr>
      <w:tr w:rsidR="00D60978" w:rsidRPr="00B11A01" w14:paraId="112084B4" w14:textId="77777777" w:rsidTr="00D60978">
        <w:tc>
          <w:tcPr>
            <w:tcW w:w="2802" w:type="dxa"/>
            <w:shd w:val="clear" w:color="auto" w:fill="auto"/>
          </w:tcPr>
          <w:p w14:paraId="112084B2" w14:textId="77777777" w:rsidR="00D60978" w:rsidRPr="00B11A01" w:rsidRDefault="00D60978" w:rsidP="00B11A01">
            <w:pPr>
              <w:spacing w:after="120"/>
              <w:rPr>
                <w:rFonts w:ascii="Arial" w:hAnsi="Arial" w:cs="Arial"/>
                <w:b/>
                <w:szCs w:val="22"/>
              </w:rPr>
            </w:pPr>
            <w:r w:rsidRPr="00B11A01">
              <w:rPr>
                <w:rFonts w:ascii="Arial" w:hAnsi="Arial" w:cs="Arial"/>
                <w:b/>
                <w:szCs w:val="22"/>
              </w:rPr>
              <w:t>E-mail:</w:t>
            </w:r>
          </w:p>
        </w:tc>
        <w:tc>
          <w:tcPr>
            <w:tcW w:w="6378" w:type="dxa"/>
          </w:tcPr>
          <w:p w14:paraId="3A56F540" w14:textId="7F5BD421" w:rsidR="00D60978" w:rsidRPr="00D60978" w:rsidRDefault="00D60978" w:rsidP="00B11A01">
            <w:pPr>
              <w:spacing w:after="120"/>
              <w:rPr>
                <w:rFonts w:ascii="Arial" w:hAnsi="Arial" w:cs="Arial"/>
                <w:szCs w:val="22"/>
                <w:u w:val="single"/>
              </w:rPr>
            </w:pPr>
            <w:r w:rsidRPr="00D60978">
              <w:rPr>
                <w:rFonts w:ascii="Arial" w:hAnsi="Arial" w:cs="Arial"/>
                <w:szCs w:val="22"/>
                <w:u w:val="single"/>
              </w:rPr>
              <w:t>stephen.hughes</w:t>
            </w:r>
            <w:hyperlink r:id="rId7" w:history="1">
              <w:r w:rsidRPr="00D60978">
                <w:rPr>
                  <w:rStyle w:val="Hyperlink"/>
                  <w:rFonts w:ascii="Arial" w:hAnsi="Arial" w:cs="Arial"/>
                  <w:color w:val="auto"/>
                  <w:szCs w:val="22"/>
                </w:rPr>
                <w:t>@local.gov.uk</w:t>
              </w:r>
            </w:hyperlink>
            <w:r w:rsidRPr="00D60978">
              <w:rPr>
                <w:rFonts w:ascii="Arial" w:hAnsi="Arial" w:cs="Arial"/>
                <w:szCs w:val="22"/>
                <w:u w:val="single"/>
              </w:rPr>
              <w:t xml:space="preserve"> </w:t>
            </w:r>
          </w:p>
        </w:tc>
      </w:tr>
    </w:tbl>
    <w:p w14:paraId="112084B5" w14:textId="63459FAC" w:rsidR="00F0713A" w:rsidRDefault="00F0713A" w:rsidP="00B11A01"/>
    <w:tbl>
      <w:tblPr>
        <w:tblW w:w="0" w:type="auto"/>
        <w:tblLook w:val="01E0" w:firstRow="1" w:lastRow="1" w:firstColumn="1" w:lastColumn="1" w:noHBand="0" w:noVBand="0"/>
      </w:tblPr>
      <w:tblGrid>
        <w:gridCol w:w="6062"/>
        <w:gridCol w:w="3225"/>
      </w:tblGrid>
      <w:tr w:rsidR="00A44CF0" w:rsidRPr="00B11A01" w14:paraId="1CCDB789" w14:textId="77777777" w:rsidTr="006E602C">
        <w:tc>
          <w:tcPr>
            <w:tcW w:w="6062" w:type="dxa"/>
            <w:shd w:val="clear" w:color="auto" w:fill="auto"/>
          </w:tcPr>
          <w:p w14:paraId="68BCD518" w14:textId="77777777" w:rsidR="00A44CF0" w:rsidRPr="00B11A01" w:rsidRDefault="00A44CF0" w:rsidP="006E602C">
            <w:pPr>
              <w:tabs>
                <w:tab w:val="center" w:pos="4153"/>
                <w:tab w:val="right" w:pos="8306"/>
              </w:tabs>
            </w:pPr>
            <w:r>
              <w:rPr>
                <w:rFonts w:ascii="Arial" w:hAnsi="Arial" w:cs="Arial"/>
                <w:noProof/>
                <w:sz w:val="44"/>
                <w:szCs w:val="44"/>
              </w:rPr>
              <w:lastRenderedPageBreak/>
              <w:drawing>
                <wp:inline distT="0" distB="0" distL="0" distR="0" wp14:anchorId="1B06C562" wp14:editId="6DCF066F">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5" w:type="dxa"/>
            <w:shd w:val="clear" w:color="auto" w:fill="auto"/>
          </w:tcPr>
          <w:p w14:paraId="2F47E026" w14:textId="77777777" w:rsidR="00A44CF0" w:rsidRDefault="00A44CF0" w:rsidP="006E602C">
            <w:pPr>
              <w:tabs>
                <w:tab w:val="center" w:pos="4153"/>
                <w:tab w:val="right" w:pos="8306"/>
              </w:tabs>
              <w:rPr>
                <w:rFonts w:ascii="Arial" w:hAnsi="Arial" w:cs="Arial"/>
                <w:b/>
                <w:szCs w:val="22"/>
              </w:rPr>
            </w:pPr>
          </w:p>
          <w:p w14:paraId="736ED0E4" w14:textId="77777777" w:rsidR="00A44CF0" w:rsidRPr="00B11A01" w:rsidRDefault="00A44CF0" w:rsidP="006E602C">
            <w:pPr>
              <w:tabs>
                <w:tab w:val="center" w:pos="4153"/>
                <w:tab w:val="right" w:pos="8306"/>
              </w:tabs>
              <w:rPr>
                <w:rFonts w:ascii="Arial" w:hAnsi="Arial" w:cs="Arial"/>
                <w:b/>
                <w:szCs w:val="22"/>
              </w:rPr>
            </w:pPr>
            <w:r>
              <w:rPr>
                <w:rFonts w:ascii="Arial" w:hAnsi="Arial" w:cs="Arial"/>
                <w:b/>
                <w:szCs w:val="22"/>
              </w:rPr>
              <w:t>Annual Meeting of the L</w:t>
            </w:r>
            <w:r w:rsidRPr="00B11A01">
              <w:rPr>
                <w:rFonts w:ascii="Arial" w:hAnsi="Arial" w:cs="Arial"/>
                <w:b/>
                <w:szCs w:val="22"/>
              </w:rPr>
              <w:t>GA General Assembly</w:t>
            </w:r>
          </w:p>
          <w:p w14:paraId="7D50B8C7" w14:textId="77777777" w:rsidR="00A44CF0" w:rsidRPr="00B11A01" w:rsidRDefault="00A44CF0" w:rsidP="006E602C">
            <w:pPr>
              <w:tabs>
                <w:tab w:val="center" w:pos="4153"/>
                <w:tab w:val="right" w:pos="8306"/>
              </w:tabs>
              <w:rPr>
                <w:szCs w:val="22"/>
              </w:rPr>
            </w:pPr>
            <w:r>
              <w:rPr>
                <w:rFonts w:ascii="Arial" w:hAnsi="Arial" w:cs="Arial"/>
                <w:szCs w:val="22"/>
              </w:rPr>
              <w:t>30 June 2015</w:t>
            </w:r>
          </w:p>
        </w:tc>
      </w:tr>
    </w:tbl>
    <w:p w14:paraId="271CAA18" w14:textId="38D544CA" w:rsidR="008E39F3" w:rsidRPr="00BB212B" w:rsidRDefault="00440E48" w:rsidP="008E39F3">
      <w:pPr>
        <w:pStyle w:val="LGAItemNoHeading"/>
        <w:spacing w:before="720"/>
        <w:rPr>
          <w:rFonts w:ascii="Arial" w:hAnsi="Arial" w:cs="Arial"/>
          <w:sz w:val="28"/>
          <w:szCs w:val="28"/>
        </w:rPr>
      </w:pPr>
      <w:r>
        <w:rPr>
          <w:rFonts w:ascii="Arial" w:hAnsi="Arial" w:cs="Arial"/>
          <w:sz w:val="28"/>
          <w:szCs w:val="28"/>
        </w:rPr>
        <w:t>B</w:t>
      </w:r>
      <w:r w:rsidR="008E39F3">
        <w:rPr>
          <w:rFonts w:ascii="Arial" w:hAnsi="Arial" w:cs="Arial"/>
          <w:sz w:val="28"/>
          <w:szCs w:val="28"/>
        </w:rPr>
        <w:t>riefing Note – LGA / IDEA Pensions update June 2015</w:t>
      </w:r>
    </w:p>
    <w:p w14:paraId="11B62D85" w14:textId="77777777" w:rsidR="008E39F3" w:rsidRDefault="008E39F3" w:rsidP="00E56203">
      <w:pPr>
        <w:pStyle w:val="MainText"/>
        <w:spacing w:line="240" w:lineRule="auto"/>
        <w:rPr>
          <w:rFonts w:ascii="Arial" w:hAnsi="Arial" w:cs="Arial"/>
          <w:b/>
          <w:szCs w:val="22"/>
        </w:rPr>
      </w:pPr>
      <w:r>
        <w:rPr>
          <w:rFonts w:ascii="Arial" w:hAnsi="Arial" w:cs="Arial"/>
          <w:b/>
          <w:szCs w:val="22"/>
        </w:rPr>
        <w:t>Purpose</w:t>
      </w:r>
    </w:p>
    <w:p w14:paraId="402196D8" w14:textId="77777777" w:rsidR="00E56203" w:rsidRPr="000B1FB2" w:rsidRDefault="00E56203" w:rsidP="00E56203">
      <w:pPr>
        <w:pStyle w:val="MainText"/>
        <w:spacing w:line="240" w:lineRule="auto"/>
        <w:rPr>
          <w:rFonts w:ascii="Arial" w:hAnsi="Arial" w:cs="Arial"/>
          <w:b/>
          <w:szCs w:val="22"/>
        </w:rPr>
      </w:pPr>
    </w:p>
    <w:p w14:paraId="14FCEFC8" w14:textId="77777777" w:rsidR="008E39F3" w:rsidRDefault="008E39F3" w:rsidP="00E56203">
      <w:pPr>
        <w:pStyle w:val="MainText"/>
        <w:numPr>
          <w:ilvl w:val="0"/>
          <w:numId w:val="1"/>
        </w:numPr>
        <w:spacing w:after="120" w:line="240" w:lineRule="auto"/>
        <w:rPr>
          <w:rFonts w:ascii="Arial" w:hAnsi="Arial" w:cs="Arial"/>
          <w:szCs w:val="22"/>
        </w:rPr>
      </w:pPr>
      <w:r>
        <w:rPr>
          <w:rFonts w:ascii="Arial" w:hAnsi="Arial" w:cs="Arial"/>
          <w:szCs w:val="22"/>
        </w:rPr>
        <w:t>This note summarises the movements between the Pension Fund Balances for the LGA and IDEA since the last Triennial valuation at March 2013, together with the key reasons for the increase in net liabilities shown in the 2014/15 Financial Accounts. In addition the note summarises the key actions being taken to reduce the overall level of deficit.</w:t>
      </w:r>
    </w:p>
    <w:p w14:paraId="50AA7431" w14:textId="77777777" w:rsidR="00E56203" w:rsidRDefault="00E56203" w:rsidP="00E56203">
      <w:pPr>
        <w:pStyle w:val="MainText"/>
        <w:spacing w:after="120" w:line="240" w:lineRule="auto"/>
        <w:ind w:left="360"/>
        <w:rPr>
          <w:rFonts w:ascii="Arial" w:hAnsi="Arial" w:cs="Arial"/>
          <w:szCs w:val="22"/>
        </w:rPr>
      </w:pPr>
    </w:p>
    <w:p w14:paraId="4687826E" w14:textId="77777777" w:rsidR="008E39F3" w:rsidRDefault="008E39F3" w:rsidP="00E56203">
      <w:pPr>
        <w:pStyle w:val="MainText"/>
        <w:spacing w:line="240" w:lineRule="auto"/>
        <w:rPr>
          <w:rFonts w:ascii="Arial" w:hAnsi="Arial" w:cs="Arial"/>
          <w:b/>
          <w:szCs w:val="22"/>
        </w:rPr>
      </w:pPr>
      <w:r>
        <w:rPr>
          <w:rFonts w:ascii="Arial" w:hAnsi="Arial" w:cs="Arial"/>
          <w:b/>
          <w:szCs w:val="22"/>
        </w:rPr>
        <w:t xml:space="preserve">Current Position </w:t>
      </w:r>
    </w:p>
    <w:p w14:paraId="7E20EA5B" w14:textId="77777777" w:rsidR="00E56203" w:rsidRPr="000B1FB2" w:rsidRDefault="00E56203" w:rsidP="00E56203">
      <w:pPr>
        <w:pStyle w:val="MainText"/>
        <w:spacing w:line="240" w:lineRule="auto"/>
        <w:rPr>
          <w:rFonts w:ascii="Arial" w:hAnsi="Arial" w:cs="Arial"/>
          <w:b/>
          <w:szCs w:val="22"/>
        </w:rPr>
      </w:pPr>
    </w:p>
    <w:p w14:paraId="57A38755" w14:textId="77777777" w:rsidR="008E39F3" w:rsidRDefault="008E39F3" w:rsidP="00E56203">
      <w:pPr>
        <w:pStyle w:val="MainText"/>
        <w:numPr>
          <w:ilvl w:val="0"/>
          <w:numId w:val="1"/>
        </w:numPr>
        <w:spacing w:after="120" w:line="240" w:lineRule="auto"/>
        <w:rPr>
          <w:rFonts w:ascii="Arial" w:hAnsi="Arial" w:cs="Arial"/>
          <w:szCs w:val="22"/>
        </w:rPr>
      </w:pPr>
      <w:r w:rsidRPr="00F014E7">
        <w:rPr>
          <w:rFonts w:ascii="Arial" w:hAnsi="Arial" w:cs="Arial"/>
          <w:szCs w:val="22"/>
        </w:rPr>
        <w:t>The table below presents the key values as contained in the Accounts for the Financial Years 2012/13 to 2014/15.</w:t>
      </w:r>
      <w:r w:rsidRPr="00F014E7">
        <w:rPr>
          <w:rFonts w:ascii="Arial" w:hAnsi="Arial" w:cs="Arial"/>
          <w:noProof/>
          <w:szCs w:val="22"/>
        </w:rPr>
        <w:t xml:space="preserve"> </w:t>
      </w:r>
    </w:p>
    <w:p w14:paraId="378BABC2" w14:textId="77777777" w:rsidR="008E39F3" w:rsidRDefault="008E39F3" w:rsidP="00E56203">
      <w:pPr>
        <w:pStyle w:val="MainText"/>
        <w:spacing w:line="240" w:lineRule="auto"/>
        <w:rPr>
          <w:rFonts w:ascii="Arial" w:hAnsi="Arial" w:cs="Arial"/>
          <w:szCs w:val="22"/>
        </w:rPr>
      </w:pPr>
      <w:r>
        <w:rPr>
          <w:rFonts w:ascii="Arial" w:hAnsi="Arial" w:cs="Arial"/>
          <w:noProof/>
          <w:szCs w:val="22"/>
        </w:rPr>
        <w:drawing>
          <wp:inline distT="0" distB="0" distL="0" distR="0" wp14:anchorId="7295195D" wp14:editId="5CFAE8D0">
            <wp:extent cx="5696745" cy="267689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C2754.tmp"/>
                    <pic:cNvPicPr/>
                  </pic:nvPicPr>
                  <pic:blipFill>
                    <a:blip r:embed="rId8">
                      <a:extLst>
                        <a:ext uri="{28A0092B-C50C-407E-A947-70E740481C1C}">
                          <a14:useLocalDpi xmlns:a14="http://schemas.microsoft.com/office/drawing/2010/main" val="0"/>
                        </a:ext>
                      </a:extLst>
                    </a:blip>
                    <a:stretch>
                      <a:fillRect/>
                    </a:stretch>
                  </pic:blipFill>
                  <pic:spPr>
                    <a:xfrm>
                      <a:off x="0" y="0"/>
                      <a:ext cx="5696745" cy="2676899"/>
                    </a:xfrm>
                    <a:prstGeom prst="rect">
                      <a:avLst/>
                    </a:prstGeom>
                  </pic:spPr>
                </pic:pic>
              </a:graphicData>
            </a:graphic>
          </wp:inline>
        </w:drawing>
      </w:r>
    </w:p>
    <w:p w14:paraId="0C766096" w14:textId="77777777" w:rsidR="00E56203" w:rsidRPr="00F014E7" w:rsidRDefault="00E56203" w:rsidP="00E56203">
      <w:pPr>
        <w:pStyle w:val="MainText"/>
        <w:spacing w:line="240" w:lineRule="auto"/>
        <w:rPr>
          <w:rFonts w:ascii="Arial" w:hAnsi="Arial" w:cs="Arial"/>
          <w:szCs w:val="22"/>
        </w:rPr>
      </w:pPr>
    </w:p>
    <w:p w14:paraId="04491031" w14:textId="77777777" w:rsidR="008E39F3" w:rsidRPr="00B7692E" w:rsidRDefault="008E39F3" w:rsidP="00E56203">
      <w:pPr>
        <w:pStyle w:val="MainText"/>
        <w:numPr>
          <w:ilvl w:val="0"/>
          <w:numId w:val="1"/>
        </w:numPr>
        <w:spacing w:after="120" w:line="240" w:lineRule="auto"/>
        <w:rPr>
          <w:rFonts w:ascii="Arial" w:hAnsi="Arial" w:cs="Arial"/>
          <w:szCs w:val="22"/>
        </w:rPr>
      </w:pPr>
      <w:r w:rsidRPr="00B56BF4">
        <w:rPr>
          <w:rFonts w:ascii="Arial" w:hAnsi="Arial" w:cs="Arial"/>
          <w:szCs w:val="22"/>
        </w:rPr>
        <w:t>The main cause of the increase over the last 2 years has been the fall in the discount rate based on the return corporate bonds (</w:t>
      </w:r>
      <w:r>
        <w:rPr>
          <w:rFonts w:ascii="Arial" w:hAnsi="Arial" w:cs="Arial"/>
          <w:szCs w:val="22"/>
        </w:rPr>
        <w:t>4.5%</w:t>
      </w:r>
      <w:r w:rsidRPr="00B56BF4">
        <w:rPr>
          <w:rFonts w:ascii="Arial" w:hAnsi="Arial" w:cs="Arial"/>
          <w:szCs w:val="22"/>
        </w:rPr>
        <w:t xml:space="preserve"> to </w:t>
      </w:r>
      <w:r>
        <w:rPr>
          <w:rFonts w:ascii="Arial" w:hAnsi="Arial" w:cs="Arial"/>
          <w:szCs w:val="22"/>
        </w:rPr>
        <w:t>3.1%</w:t>
      </w:r>
      <w:r w:rsidRPr="00B56BF4">
        <w:rPr>
          <w:rFonts w:ascii="Arial" w:hAnsi="Arial" w:cs="Arial"/>
          <w:szCs w:val="22"/>
        </w:rPr>
        <w:t>). This has been offset</w:t>
      </w:r>
      <w:r>
        <w:rPr>
          <w:rFonts w:ascii="Arial" w:hAnsi="Arial" w:cs="Arial"/>
          <w:szCs w:val="22"/>
        </w:rPr>
        <w:t xml:space="preserve"> by</w:t>
      </w:r>
      <w:r w:rsidRPr="00B56BF4">
        <w:rPr>
          <w:rFonts w:ascii="Arial" w:hAnsi="Arial" w:cs="Arial"/>
          <w:szCs w:val="22"/>
        </w:rPr>
        <w:t xml:space="preserve"> lower assumptions for the inflation on pensions. For the LGA this has also been offset in the current year by early payment of the deficit contributions to the Merseyside Pension Fund (£1.9m) and the combination the West Sussex and Merseyside Pension Funds (£10.0m)</w:t>
      </w:r>
    </w:p>
    <w:p w14:paraId="01FECBB2" w14:textId="77777777" w:rsidR="008E39F3" w:rsidRDefault="008E39F3" w:rsidP="00E56203">
      <w:pPr>
        <w:pStyle w:val="MainText"/>
        <w:spacing w:line="240" w:lineRule="auto"/>
        <w:rPr>
          <w:rFonts w:ascii="Arial" w:hAnsi="Arial" w:cs="Arial"/>
          <w:b/>
          <w:szCs w:val="22"/>
        </w:rPr>
      </w:pPr>
      <w:r w:rsidRPr="00B56BF4">
        <w:rPr>
          <w:rFonts w:ascii="Arial" w:hAnsi="Arial" w:cs="Arial"/>
          <w:b/>
          <w:szCs w:val="22"/>
        </w:rPr>
        <w:t>Plans to cover the deficit</w:t>
      </w:r>
    </w:p>
    <w:p w14:paraId="34640B7F" w14:textId="77777777" w:rsidR="00E56203" w:rsidRPr="00B56BF4" w:rsidRDefault="00E56203" w:rsidP="00E56203">
      <w:pPr>
        <w:pStyle w:val="MainText"/>
        <w:spacing w:line="240" w:lineRule="auto"/>
        <w:rPr>
          <w:rFonts w:ascii="Arial" w:hAnsi="Arial" w:cs="Arial"/>
          <w:b/>
          <w:szCs w:val="22"/>
        </w:rPr>
      </w:pPr>
    </w:p>
    <w:p w14:paraId="5D3F5FA8" w14:textId="7E526F6D" w:rsidR="00A62C09" w:rsidRDefault="008E39F3" w:rsidP="00E56203">
      <w:pPr>
        <w:pStyle w:val="MainText"/>
        <w:numPr>
          <w:ilvl w:val="0"/>
          <w:numId w:val="1"/>
        </w:numPr>
        <w:spacing w:after="120" w:line="240" w:lineRule="auto"/>
      </w:pPr>
      <w:r w:rsidRPr="00622831">
        <w:rPr>
          <w:rFonts w:ascii="Arial" w:hAnsi="Arial" w:cs="Arial"/>
          <w:szCs w:val="22"/>
        </w:rPr>
        <w:t>The LGA and IDEA are currently making additional contributions averaging over £4 million per annum. Actuarial advice indicates that on reasonable long term assumptions, these contributions will be sufficient to eliminate the deficit over a period of 22 years for the LGA and 15 years for the IDeA.  In addition the LGA’s Leadership Board has commissioned further work to investigate ways in which the management of the pension deficit can be improved and has agreed to the refurbishment of Layden House from 2016 as part of this strategy.</w:t>
      </w:r>
      <w:bookmarkStart w:id="0" w:name="_GoBack"/>
      <w:bookmarkEnd w:id="0"/>
    </w:p>
    <w:sectPr w:rsidR="00A62C09" w:rsidSect="00B11A01">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C07D2"/>
    <w:multiLevelType w:val="multilevel"/>
    <w:tmpl w:val="D1F6658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01"/>
    <w:rsid w:val="001E41B7"/>
    <w:rsid w:val="00440E48"/>
    <w:rsid w:val="00555382"/>
    <w:rsid w:val="00622831"/>
    <w:rsid w:val="007E51B9"/>
    <w:rsid w:val="008909F7"/>
    <w:rsid w:val="008E39F3"/>
    <w:rsid w:val="009B240E"/>
    <w:rsid w:val="00A30E9C"/>
    <w:rsid w:val="00A44CF0"/>
    <w:rsid w:val="00A4594C"/>
    <w:rsid w:val="00A8517F"/>
    <w:rsid w:val="00AB4F3C"/>
    <w:rsid w:val="00B11A01"/>
    <w:rsid w:val="00D60978"/>
    <w:rsid w:val="00D7314F"/>
    <w:rsid w:val="00E56203"/>
    <w:rsid w:val="00F0713A"/>
    <w:rsid w:val="00F421CD"/>
    <w:rsid w:val="00FF0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1"/>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B11A01"/>
    <w:pPr>
      <w:spacing w:line="280" w:lineRule="exact"/>
    </w:pPr>
  </w:style>
  <w:style w:type="paragraph" w:customStyle="1" w:styleId="LGAItemNoHeading">
    <w:name w:val="LGA Item No Heading"/>
    <w:basedOn w:val="MainText"/>
    <w:rsid w:val="00B11A01"/>
    <w:pPr>
      <w:spacing w:before="600" w:after="240"/>
    </w:pPr>
    <w:rPr>
      <w:rFonts w:ascii="Frutiger 55 Roman" w:hAnsi="Frutiger 55 Roman"/>
      <w:b/>
      <w:sz w:val="32"/>
    </w:rPr>
  </w:style>
  <w:style w:type="paragraph" w:styleId="BalloonText">
    <w:name w:val="Balloon Text"/>
    <w:basedOn w:val="Normal"/>
    <w:link w:val="BalloonTextChar"/>
    <w:uiPriority w:val="99"/>
    <w:semiHidden/>
    <w:unhideWhenUsed/>
    <w:rsid w:val="00B11A01"/>
    <w:rPr>
      <w:rFonts w:ascii="Tahoma" w:hAnsi="Tahoma" w:cs="Tahoma"/>
      <w:sz w:val="16"/>
      <w:szCs w:val="16"/>
    </w:rPr>
  </w:style>
  <w:style w:type="character" w:customStyle="1" w:styleId="BalloonTextChar">
    <w:name w:val="Balloon Text Char"/>
    <w:basedOn w:val="DefaultParagraphFont"/>
    <w:link w:val="BalloonText"/>
    <w:uiPriority w:val="99"/>
    <w:semiHidden/>
    <w:rsid w:val="00B11A01"/>
    <w:rPr>
      <w:rFonts w:ascii="Tahoma" w:eastAsia="Times New Roman" w:hAnsi="Tahoma" w:cs="Tahoma"/>
      <w:sz w:val="16"/>
      <w:szCs w:val="16"/>
      <w:lang w:eastAsia="en-GB"/>
    </w:rPr>
  </w:style>
  <w:style w:type="table" w:styleId="TableGrid">
    <w:name w:val="Table Grid"/>
    <w:basedOn w:val="TableNormal"/>
    <w:uiPriority w:val="59"/>
    <w:rsid w:val="0089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09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1"/>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B11A01"/>
    <w:pPr>
      <w:spacing w:line="280" w:lineRule="exact"/>
    </w:pPr>
  </w:style>
  <w:style w:type="paragraph" w:customStyle="1" w:styleId="LGAItemNoHeading">
    <w:name w:val="LGA Item No Heading"/>
    <w:basedOn w:val="MainText"/>
    <w:rsid w:val="00B11A01"/>
    <w:pPr>
      <w:spacing w:before="600" w:after="240"/>
    </w:pPr>
    <w:rPr>
      <w:rFonts w:ascii="Frutiger 55 Roman" w:hAnsi="Frutiger 55 Roman"/>
      <w:b/>
      <w:sz w:val="32"/>
    </w:rPr>
  </w:style>
  <w:style w:type="paragraph" w:styleId="BalloonText">
    <w:name w:val="Balloon Text"/>
    <w:basedOn w:val="Normal"/>
    <w:link w:val="BalloonTextChar"/>
    <w:uiPriority w:val="99"/>
    <w:semiHidden/>
    <w:unhideWhenUsed/>
    <w:rsid w:val="00B11A01"/>
    <w:rPr>
      <w:rFonts w:ascii="Tahoma" w:hAnsi="Tahoma" w:cs="Tahoma"/>
      <w:sz w:val="16"/>
      <w:szCs w:val="16"/>
    </w:rPr>
  </w:style>
  <w:style w:type="character" w:customStyle="1" w:styleId="BalloonTextChar">
    <w:name w:val="Balloon Text Char"/>
    <w:basedOn w:val="DefaultParagraphFont"/>
    <w:link w:val="BalloonText"/>
    <w:uiPriority w:val="99"/>
    <w:semiHidden/>
    <w:rsid w:val="00B11A01"/>
    <w:rPr>
      <w:rFonts w:ascii="Tahoma" w:eastAsia="Times New Roman" w:hAnsi="Tahoma" w:cs="Tahoma"/>
      <w:sz w:val="16"/>
      <w:szCs w:val="16"/>
      <w:lang w:eastAsia="en-GB"/>
    </w:rPr>
  </w:style>
  <w:style w:type="table" w:styleId="TableGrid">
    <w:name w:val="Table Grid"/>
    <w:basedOn w:val="TableNormal"/>
    <w:uiPriority w:val="59"/>
    <w:rsid w:val="0089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0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microsoft.com/office/2007/relationships/stylesWithEffects" Target="stylesWithEffects.xml"/><Relationship Id="rId7" Type="http://schemas.openxmlformats.org/officeDocument/2006/relationships/hyperlink" Target="mailto:helen.platts@loc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Boyle</dc:creator>
  <cp:lastModifiedBy>Cathy Boyle</cp:lastModifiedBy>
  <cp:revision>19</cp:revision>
  <dcterms:created xsi:type="dcterms:W3CDTF">2015-06-15T07:27:00Z</dcterms:created>
  <dcterms:modified xsi:type="dcterms:W3CDTF">2015-06-15T16:15:00Z</dcterms:modified>
</cp:coreProperties>
</file>